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4AF7" w14:textId="7975065B" w:rsidR="00721898" w:rsidRPr="0079399F" w:rsidRDefault="00F00F92" w:rsidP="00721898">
      <w:pPr>
        <w:ind w:left="2880" w:firstLine="720"/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  <w:r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Medicare </w:t>
      </w:r>
      <w:r w:rsid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U</w:t>
      </w:r>
      <w:r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pdates 2023</w:t>
      </w:r>
    </w:p>
    <w:p w14:paraId="2416B6BC" w14:textId="731EAF3F" w:rsidR="00721898" w:rsidRPr="0079399F" w:rsidRDefault="00721898" w:rsidP="00721898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</w:p>
    <w:p w14:paraId="7E30E053" w14:textId="77777777" w:rsidR="00CC236C" w:rsidRDefault="00721898" w:rsidP="00721898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  <w:r w:rsidRPr="00CC236C">
        <w:rPr>
          <w:rFonts w:ascii="Grandview" w:hAnsi="Grandview" w:cs="Simplified Arabic Fixed"/>
          <w:b/>
          <w:bCs/>
          <w:color w:val="1A1A1A" w:themeColor="background1" w:themeShade="1A"/>
          <w:sz w:val="24"/>
          <w:szCs w:val="24"/>
          <w:u w:val="single"/>
        </w:rPr>
        <w:t>Vaccines</w:t>
      </w:r>
      <w:r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:</w:t>
      </w:r>
      <w:r w:rsid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  </w:t>
      </w:r>
      <w:r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Vaccines</w:t>
      </w:r>
      <w:r w:rsidR="001153D9"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 which</w:t>
      </w:r>
      <w:r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 no longer require a copa</w:t>
      </w:r>
      <w:r w:rsidR="001153D9"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y, listed in </w:t>
      </w:r>
      <w:r w:rsidR="009F4CD7"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ACIP(Advisory Committee on Immunization Practices</w:t>
      </w:r>
      <w:r w:rsid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:</w:t>
      </w:r>
    </w:p>
    <w:p w14:paraId="66734E18" w14:textId="77777777" w:rsidR="00CC236C" w:rsidRDefault="00661D5E" w:rsidP="009F1B34">
      <w:pPr>
        <w:pStyle w:val="ListParagraph"/>
        <w:numPr>
          <w:ilvl w:val="0"/>
          <w:numId w:val="2"/>
        </w:num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  <w:r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Shingle</w:t>
      </w:r>
      <w:r w:rsidR="00CC5F96"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s (two</w:t>
      </w:r>
      <w:r w:rsidR="00F90783"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-dose</w:t>
      </w:r>
      <w:r w:rsidR="00CC5F96"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)</w:t>
      </w:r>
      <w:r w:rsidR="00F90783"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 </w:t>
      </w:r>
      <w:r w:rsidR="00CC5F96"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named Shingrix</w:t>
      </w:r>
    </w:p>
    <w:p w14:paraId="199776AD" w14:textId="77777777" w:rsidR="00CC236C" w:rsidRDefault="00661D5E" w:rsidP="009A5C03">
      <w:pPr>
        <w:pStyle w:val="ListParagraph"/>
        <w:numPr>
          <w:ilvl w:val="0"/>
          <w:numId w:val="2"/>
        </w:num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  <w:r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Tdap (for tetanus, diphtheria, pertussis)</w:t>
      </w:r>
    </w:p>
    <w:p w14:paraId="722FFA94" w14:textId="77777777" w:rsidR="00CC236C" w:rsidRDefault="00856147" w:rsidP="00BB75A9">
      <w:pPr>
        <w:pStyle w:val="ListParagraph"/>
        <w:numPr>
          <w:ilvl w:val="0"/>
          <w:numId w:val="2"/>
        </w:num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  <w:r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Covid-19</w:t>
      </w:r>
    </w:p>
    <w:p w14:paraId="70ABEB31" w14:textId="2FA89A30" w:rsidR="00856147" w:rsidRPr="00CC236C" w:rsidRDefault="00856147" w:rsidP="00BB75A9">
      <w:pPr>
        <w:pStyle w:val="ListParagraph"/>
        <w:numPr>
          <w:ilvl w:val="0"/>
          <w:numId w:val="2"/>
        </w:num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  <w:r w:rsidRPr="00CC236C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>Pneumococcal vaccines (pneumonia)</w:t>
      </w:r>
    </w:p>
    <w:p w14:paraId="6B37C519" w14:textId="77777777" w:rsidR="0079399F" w:rsidRPr="0079399F" w:rsidRDefault="0079399F" w:rsidP="00721898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</w:p>
    <w:p w14:paraId="3EFEDD84" w14:textId="77777777" w:rsidR="0079399F" w:rsidRPr="0079399F" w:rsidRDefault="0079399F" w:rsidP="00721898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</w:p>
    <w:p w14:paraId="500AE119" w14:textId="58C84B22" w:rsidR="0079399F" w:rsidRPr="0079399F" w:rsidRDefault="0079399F" w:rsidP="00721898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  <w:r w:rsidRPr="0079399F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ACIP </w:t>
      </w:r>
      <w:r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Vaccination </w:t>
      </w:r>
      <w:r w:rsidR="00AF563E">
        <w:rPr>
          <w:rFonts w:ascii="Grandview" w:hAnsi="Grandview" w:cs="Simplified Arabic Fixed"/>
          <w:color w:val="1A1A1A" w:themeColor="background1" w:themeShade="1A"/>
          <w:sz w:val="24"/>
          <w:szCs w:val="24"/>
        </w:rPr>
        <w:t xml:space="preserve">Recommendations </w:t>
      </w:r>
    </w:p>
    <w:p w14:paraId="6BC36B38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5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Anthrax</w:t>
        </w:r>
      </w:hyperlink>
    </w:p>
    <w:p w14:paraId="42F53D67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6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Cholera</w:t>
        </w:r>
      </w:hyperlink>
    </w:p>
    <w:p w14:paraId="55416E36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7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COVID-19 </w:t>
        </w:r>
      </w:hyperlink>
    </w:p>
    <w:p w14:paraId="4A2DE6A2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8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Dengue</w:t>
        </w:r>
      </w:hyperlink>
    </w:p>
    <w:p w14:paraId="5DF5A699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9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DTaP-IPV-Hib-</w:t>
        </w:r>
        <w:proofErr w:type="spellStart"/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HepB</w:t>
        </w:r>
        <w:proofErr w:type="spellEnd"/>
      </w:hyperlink>
    </w:p>
    <w:p w14:paraId="34051BF1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0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DTaP/Tdap/Td</w:t>
        </w:r>
      </w:hyperlink>
    </w:p>
    <w:p w14:paraId="430DB6A8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1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Ebola</w:t>
        </w:r>
      </w:hyperlink>
    </w:p>
    <w:p w14:paraId="0025172A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2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Hepatitis A</w:t>
        </w:r>
      </w:hyperlink>
    </w:p>
    <w:p w14:paraId="29F6485A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3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Hepatitis B</w:t>
        </w:r>
      </w:hyperlink>
    </w:p>
    <w:p w14:paraId="684270F9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4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Hib</w:t>
        </w:r>
      </w:hyperlink>
    </w:p>
    <w:p w14:paraId="57F4E53C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5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HPV</w:t>
        </w:r>
      </w:hyperlink>
    </w:p>
    <w:p w14:paraId="690B1466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6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Influenza</w:t>
        </w:r>
      </w:hyperlink>
    </w:p>
    <w:p w14:paraId="691A7295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7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Japanese Encephalitis</w:t>
        </w:r>
      </w:hyperlink>
    </w:p>
    <w:p w14:paraId="36AA9CB0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8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Measles, Mumps and Rubella</w:t>
        </w:r>
      </w:hyperlink>
    </w:p>
    <w:p w14:paraId="4A49EE9E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19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MMRV</w:t>
        </w:r>
      </w:hyperlink>
    </w:p>
    <w:p w14:paraId="115405B5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0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Meningococcal</w:t>
        </w:r>
      </w:hyperlink>
    </w:p>
    <w:p w14:paraId="5F6BB037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1" w:history="1">
        <w:proofErr w:type="spellStart"/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Orthopoxviruses</w:t>
        </w:r>
        <w:proofErr w:type="spellEnd"/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 xml:space="preserve"> (Smallpox and Monkeypox)</w:t>
        </w:r>
      </w:hyperlink>
    </w:p>
    <w:p w14:paraId="4154286A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2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Pneumococcal</w:t>
        </w:r>
      </w:hyperlink>
    </w:p>
    <w:p w14:paraId="549F3CB4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3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Polio</w:t>
        </w:r>
      </w:hyperlink>
    </w:p>
    <w:p w14:paraId="7BE8A931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4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Rabies</w:t>
        </w:r>
      </w:hyperlink>
    </w:p>
    <w:p w14:paraId="27AFBAE8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5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Rotavirus</w:t>
        </w:r>
      </w:hyperlink>
    </w:p>
    <w:p w14:paraId="1BA224BC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6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Typhoid</w:t>
        </w:r>
      </w:hyperlink>
    </w:p>
    <w:p w14:paraId="3667FA98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7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Varicella (Chickenpox)</w:t>
        </w:r>
      </w:hyperlink>
    </w:p>
    <w:p w14:paraId="4E0558D5" w14:textId="77777777" w:rsidR="0079399F" w:rsidRPr="0079399F" w:rsidRDefault="00000000" w:rsidP="0079399F">
      <w:pPr>
        <w:numPr>
          <w:ilvl w:val="0"/>
          <w:numId w:val="1"/>
        </w:numPr>
        <w:spacing w:before="100" w:beforeAutospacing="1" w:after="100" w:after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8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Yellow Fever</w:t>
        </w:r>
      </w:hyperlink>
    </w:p>
    <w:p w14:paraId="3E2DC563" w14:textId="77777777" w:rsidR="0079399F" w:rsidRPr="0079399F" w:rsidRDefault="00000000" w:rsidP="0079399F">
      <w:pPr>
        <w:numPr>
          <w:ilvl w:val="0"/>
          <w:numId w:val="1"/>
        </w:numPr>
        <w:spacing w:before="100" w:beforeAutospacing="1"/>
        <w:divId w:val="1006596761"/>
        <w:rPr>
          <w:rFonts w:ascii="Grandview" w:eastAsia="Times New Roman" w:hAnsi="Grandview" w:cs="Open Sans"/>
          <w:color w:val="1A1A1A" w:themeColor="background1" w:themeShade="1A"/>
          <w:kern w:val="0"/>
          <w:sz w:val="24"/>
          <w:szCs w:val="24"/>
          <w14:ligatures w14:val="none"/>
        </w:rPr>
      </w:pPr>
      <w:hyperlink r:id="rId29" w:history="1">
        <w:r w:rsidR="0079399F" w:rsidRPr="0079399F">
          <w:rPr>
            <w:rFonts w:ascii="Grandview" w:eastAsia="Times New Roman" w:hAnsi="Grandview" w:cs="Open Sans"/>
            <w:color w:val="1A1A1A" w:themeColor="background1" w:themeShade="1A"/>
            <w:kern w:val="0"/>
            <w:sz w:val="24"/>
            <w:szCs w:val="24"/>
            <w:u w:val="single"/>
            <w14:ligatures w14:val="none"/>
          </w:rPr>
          <w:t>Zoster (Shingles)</w:t>
        </w:r>
      </w:hyperlink>
    </w:p>
    <w:p w14:paraId="76374EE6" w14:textId="77777777" w:rsidR="00924FDD" w:rsidRPr="0079399F" w:rsidRDefault="00924FDD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</w:p>
    <w:p w14:paraId="4C27DF54" w14:textId="77777777" w:rsidR="00F90783" w:rsidRPr="0079399F" w:rsidRDefault="00F90783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</w:p>
    <w:p w14:paraId="550625F2" w14:textId="77777777" w:rsidR="00F90783" w:rsidRPr="0079399F" w:rsidRDefault="00F90783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</w:p>
    <w:p w14:paraId="3996AD3C" w14:textId="77777777" w:rsidR="00F00F92" w:rsidRPr="0079399F" w:rsidRDefault="00F00F92">
      <w:pPr>
        <w:rPr>
          <w:rFonts w:ascii="Grandview" w:hAnsi="Grandview" w:cs="Simplified Arabic Fixed"/>
          <w:color w:val="1A1A1A" w:themeColor="background1" w:themeShade="1A"/>
          <w:sz w:val="24"/>
          <w:szCs w:val="24"/>
        </w:rPr>
      </w:pPr>
    </w:p>
    <w:sectPr w:rsidR="00F00F92" w:rsidRPr="0079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6A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1F52"/>
    <w:multiLevelType w:val="hybridMultilevel"/>
    <w:tmpl w:val="708C4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02771">
    <w:abstractNumId w:val="0"/>
  </w:num>
  <w:num w:numId="2" w16cid:durableId="25247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92"/>
    <w:rsid w:val="00087181"/>
    <w:rsid w:val="001153D9"/>
    <w:rsid w:val="005C0AC1"/>
    <w:rsid w:val="00661D5E"/>
    <w:rsid w:val="00721898"/>
    <w:rsid w:val="0079399F"/>
    <w:rsid w:val="00856147"/>
    <w:rsid w:val="00924FDD"/>
    <w:rsid w:val="009F4CD7"/>
    <w:rsid w:val="00AF563E"/>
    <w:rsid w:val="00BC33EE"/>
    <w:rsid w:val="00CC236C"/>
    <w:rsid w:val="00CC5F96"/>
    <w:rsid w:val="00F00F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5175"/>
  <w15:chartTrackingRefBased/>
  <w15:docId w15:val="{E81CF0BF-7B0E-B14E-AA57-65F3A162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72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950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11272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hcp/acip-recs/vacc-specific/dengue.html" TargetMode="External"/><Relationship Id="rId13" Type="http://schemas.openxmlformats.org/officeDocument/2006/relationships/hyperlink" Target="https://www.cdc.gov/vaccines/hcp/acip-recs/vacc-specific/hepb.html" TargetMode="External"/><Relationship Id="rId18" Type="http://schemas.openxmlformats.org/officeDocument/2006/relationships/hyperlink" Target="https://www.cdc.gov/vaccines/hcp/acip-recs/vacc-specific/mmr.html" TargetMode="External"/><Relationship Id="rId26" Type="http://schemas.openxmlformats.org/officeDocument/2006/relationships/hyperlink" Target="https://www.cdc.gov/vaccines/hcp/acip-recs/vacc-specific/typhoi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vaccines/hcp/acip-recs/vacc-specific/smallpox.html" TargetMode="External"/><Relationship Id="rId7" Type="http://schemas.openxmlformats.org/officeDocument/2006/relationships/hyperlink" Target="https://www.cdc.gov/vaccines/hcp/acip-recs/vacc-specific/covid-19.html" TargetMode="External"/><Relationship Id="rId12" Type="http://schemas.openxmlformats.org/officeDocument/2006/relationships/hyperlink" Target="https://www.cdc.gov/vaccines/hcp/acip-recs/vacc-specific/hepa.html" TargetMode="External"/><Relationship Id="rId17" Type="http://schemas.openxmlformats.org/officeDocument/2006/relationships/hyperlink" Target="https://www.cdc.gov/vaccines/hcp/acip-recs/vacc-specific/je.html" TargetMode="External"/><Relationship Id="rId25" Type="http://schemas.openxmlformats.org/officeDocument/2006/relationships/hyperlink" Target="https://www.cdc.gov/vaccines/hcp/acip-recs/vacc-specific/rotavir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vaccines/hcp/acip-recs/vacc-specific/flu.html" TargetMode="External"/><Relationship Id="rId20" Type="http://schemas.openxmlformats.org/officeDocument/2006/relationships/hyperlink" Target="https://www.cdc.gov/vaccines/hcp/acip-recs/vacc-specific/mening.html" TargetMode="External"/><Relationship Id="rId29" Type="http://schemas.openxmlformats.org/officeDocument/2006/relationships/hyperlink" Target="https://www.cdc.gov/vaccines/hcp/acip-recs/vacc-specific/shingl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vaccines/hcp/acip-recs/vacc-specific/cholera.html" TargetMode="External"/><Relationship Id="rId11" Type="http://schemas.openxmlformats.org/officeDocument/2006/relationships/hyperlink" Target="https://www.cdc.gov/vaccines/hcp/acip-recs/vacc-specific/ebola.html" TargetMode="External"/><Relationship Id="rId24" Type="http://schemas.openxmlformats.org/officeDocument/2006/relationships/hyperlink" Target="https://www.cdc.gov/vaccines/hcp/acip-recs/vacc-specific/rabies.html" TargetMode="External"/><Relationship Id="rId5" Type="http://schemas.openxmlformats.org/officeDocument/2006/relationships/hyperlink" Target="https://www.cdc.gov/vaccines/hcp/acip-recs/vacc-specific/anthrax.html" TargetMode="External"/><Relationship Id="rId15" Type="http://schemas.openxmlformats.org/officeDocument/2006/relationships/hyperlink" Target="https://www.cdc.gov/vaccines/hcp/acip-recs/vacc-specific/hpv.html" TargetMode="External"/><Relationship Id="rId23" Type="http://schemas.openxmlformats.org/officeDocument/2006/relationships/hyperlink" Target="https://www.cdc.gov/vaccines/hcp/acip-recs/vacc-specific/polio.html" TargetMode="External"/><Relationship Id="rId28" Type="http://schemas.openxmlformats.org/officeDocument/2006/relationships/hyperlink" Target="https://www.cdc.gov/vaccines/hcp/acip-recs/vacc-specific/yf.html" TargetMode="External"/><Relationship Id="rId10" Type="http://schemas.openxmlformats.org/officeDocument/2006/relationships/hyperlink" Target="https://www.cdc.gov/vaccines/hcp/acip-recs/vacc-specific/dtap.html" TargetMode="External"/><Relationship Id="rId19" Type="http://schemas.openxmlformats.org/officeDocument/2006/relationships/hyperlink" Target="https://www.cdc.gov/vaccines/hcp/acip-recs/vacc-specific/mmrv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hcp/acip-recs/vacc-specific/dtap-ipv-hib-hepb.html" TargetMode="External"/><Relationship Id="rId14" Type="http://schemas.openxmlformats.org/officeDocument/2006/relationships/hyperlink" Target="https://www.cdc.gov/vaccines/hcp/acip-recs/vacc-specific/hib.html" TargetMode="External"/><Relationship Id="rId22" Type="http://schemas.openxmlformats.org/officeDocument/2006/relationships/hyperlink" Target="https://www.cdc.gov/vaccines/hcp/acip-recs/vacc-specific/pneumo.html" TargetMode="External"/><Relationship Id="rId27" Type="http://schemas.openxmlformats.org/officeDocument/2006/relationships/hyperlink" Target="https://www.cdc.gov/vaccines/hcp/acip-recs/vacc-specific/varicell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Bellows</dc:creator>
  <cp:keywords/>
  <dc:description/>
  <cp:lastModifiedBy>Melody Connell</cp:lastModifiedBy>
  <cp:revision>2</cp:revision>
  <dcterms:created xsi:type="dcterms:W3CDTF">2023-09-07T17:23:00Z</dcterms:created>
  <dcterms:modified xsi:type="dcterms:W3CDTF">2023-09-07T17:23:00Z</dcterms:modified>
</cp:coreProperties>
</file>